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7BF3268C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>Компас Фонд за Вземания АДСИЦ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“ АДСИЦ за 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01.0</w:t>
      </w:r>
      <w:r w:rsidR="005F312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4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10024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– 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5F312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0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.0</w:t>
      </w:r>
      <w:r w:rsidR="005F312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6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10024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и с натрупване от 01.01.202</w:t>
      </w:r>
      <w:r w:rsidR="0010024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до 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5F312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0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.0</w:t>
      </w:r>
      <w:r w:rsidR="005F312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6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100241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E95CD6"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</w:t>
      </w:r>
      <w:r w:rsidRPr="00CF41CC">
        <w:rPr>
          <w:rFonts w:ascii="Calibri" w:hAnsi="Calibri"/>
          <w:b/>
          <w:bCs/>
          <w:kern w:val="32"/>
          <w:sz w:val="28"/>
          <w:szCs w:val="32"/>
          <w:lang w:eastAsia="zh-CN"/>
        </w:rPr>
        <w:t>г.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CF41CC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5F3121" w:rsidRPr="0050357B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6408AEBC" w:rsidR="00A530E8" w:rsidRPr="0050357B" w:rsidRDefault="005F3121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31.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239B9DB4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</w:t>
            </w:r>
            <w:r w:rsidR="005F3121">
              <w:rPr>
                <w:b/>
                <w:bCs/>
                <w:sz w:val="20"/>
                <w:szCs w:val="20"/>
              </w:rPr>
              <w:t>0</w:t>
            </w:r>
            <w:r w:rsidRPr="0050357B">
              <w:rPr>
                <w:b/>
                <w:bCs/>
                <w:sz w:val="20"/>
                <w:szCs w:val="20"/>
              </w:rPr>
              <w:t>.</w:t>
            </w:r>
            <w:r w:rsidR="00E95CD6">
              <w:rPr>
                <w:b/>
                <w:bCs/>
                <w:sz w:val="20"/>
                <w:szCs w:val="20"/>
              </w:rPr>
              <w:t>0</w:t>
            </w:r>
            <w:r w:rsidR="005F3121">
              <w:rPr>
                <w:b/>
                <w:bCs/>
                <w:sz w:val="20"/>
                <w:szCs w:val="20"/>
              </w:rPr>
              <w:t>6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1002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5F3121" w:rsidRPr="0050357B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3121" w:rsidRPr="0050357B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1.</w:t>
            </w:r>
          </w:p>
          <w:p w14:paraId="55BAE004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2BDAAF31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468268C0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5F3121" w:rsidRPr="0050357B" w:rsidRDefault="005F3121" w:rsidP="005F3121">
            <w:pPr>
              <w:jc w:val="right"/>
              <w:rPr>
                <w:sz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F3121" w:rsidRPr="0050357B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6331BE8D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64A2BF86" w:rsidR="005F3121" w:rsidRPr="0050357B" w:rsidRDefault="005F3121" w:rsidP="005F312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5F3121" w:rsidRPr="0050357B" w:rsidRDefault="005F3121" w:rsidP="005F312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F3121" w:rsidRPr="0050357B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61423A5C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50357B">
              <w:rPr>
                <w:sz w:val="20"/>
                <w:szCs w:val="20"/>
              </w:rPr>
              <w:t>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0597E898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035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2E5FD8AE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50357B">
              <w:rPr>
                <w:sz w:val="20"/>
                <w:szCs w:val="20"/>
              </w:rPr>
              <w:t>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52D6BCE4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035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1975C9CF" w:rsidR="005F3121" w:rsidRPr="00CF41CC" w:rsidRDefault="00CF41CC" w:rsidP="005F31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F3121" w:rsidRPr="0050357B" w14:paraId="30735715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9C1" w14:textId="77777777" w:rsidR="005F3121" w:rsidRPr="00100241" w:rsidRDefault="005F3121" w:rsidP="005F312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4.</w:t>
            </w:r>
          </w:p>
          <w:p w14:paraId="38BC6CB6" w14:textId="77777777" w:rsidR="005F3121" w:rsidRPr="00100241" w:rsidRDefault="005F3121" w:rsidP="005F312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5.</w:t>
            </w:r>
          </w:p>
          <w:p w14:paraId="2FA355AA" w14:textId="77777777" w:rsidR="005F3121" w:rsidRPr="00100241" w:rsidRDefault="005F3121" w:rsidP="005F312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6.</w:t>
            </w:r>
          </w:p>
          <w:p w14:paraId="4A9BE007" w14:textId="281A228A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100241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3E4A" w14:textId="6F5FCABD" w:rsidR="005F3121" w:rsidRPr="0050357B" w:rsidRDefault="005F3121" w:rsidP="005F3121">
            <w:pPr>
              <w:jc w:val="center"/>
            </w:pPr>
            <w:r w:rsidRPr="00100241">
              <w:t>ДФ ТРЕНД  ФОНД АКЦИИ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7D3E" w14:textId="717109DE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97DA0" w14:textId="5FA26217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559D" w14:textId="56D1EF43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6DA" w14:textId="5FC3BF75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DBE9" w14:textId="7394CC62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3121" w:rsidRPr="0050357B" w14:paraId="4DD1433D" w14:textId="77777777" w:rsidTr="008C5996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4CDEF9DB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15FD7BFF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7511FBF3" w:rsidR="005F3121" w:rsidRPr="0050357B" w:rsidRDefault="005F3121" w:rsidP="005F312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5F3121" w:rsidRPr="0050357B" w:rsidRDefault="005F3121" w:rsidP="005F3121">
            <w:pPr>
              <w:jc w:val="right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5F3121" w:rsidRPr="0050357B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00DC47AA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0357B">
              <w:rPr>
                <w:sz w:val="20"/>
                <w:szCs w:val="20"/>
              </w:rPr>
              <w:t>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39711014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4755DFC7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2BC58A66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5F3121" w:rsidRPr="0050357B" w:rsidRDefault="005F3121" w:rsidP="005F3121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5F3121" w:rsidRPr="0050357B" w:rsidRDefault="005F3121" w:rsidP="005F3121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0 </w:t>
            </w:r>
          </w:p>
        </w:tc>
      </w:tr>
      <w:tr w:rsidR="005F3121" w:rsidRPr="00CF41CC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67743951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494888E4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137710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16CDACAD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9,18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00A986CD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132760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2F1C223C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8,85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37C4F4F1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-4950</w:t>
            </w:r>
          </w:p>
        </w:tc>
      </w:tr>
      <w:tr w:rsidR="005F3121" w:rsidRPr="0050357B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38B3F4FA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8.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038F94E9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364 595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47454EBB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24,31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55848C42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359 485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0F5AD969" w:rsidR="005F3121" w:rsidRPr="00CF41CC" w:rsidRDefault="005F3121" w:rsidP="005F3121">
            <w:pPr>
              <w:jc w:val="right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23,97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79DF1A9C" w:rsidR="005F3121" w:rsidRPr="00CF41CC" w:rsidRDefault="005F3121" w:rsidP="005F3121">
            <w:pPr>
              <w:jc w:val="center"/>
              <w:rPr>
                <w:sz w:val="20"/>
                <w:szCs w:val="20"/>
              </w:rPr>
            </w:pPr>
            <w:r w:rsidRPr="00CF41CC">
              <w:rPr>
                <w:sz w:val="20"/>
                <w:szCs w:val="20"/>
              </w:rPr>
              <w:t>-5110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611DA3EA" w:rsidR="005E57F3" w:rsidRPr="005E57F3" w:rsidRDefault="00A649DE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 w:rsidRPr="00A649DE">
        <w:rPr>
          <w:rFonts w:ascii="Calibri" w:eastAsia="SimSun" w:hAnsi="Calibri"/>
          <w:b/>
          <w:sz w:val="24"/>
          <w:szCs w:val="24"/>
          <w:lang w:val="en-US" w:eastAsia="zh-CN"/>
        </w:rPr>
        <w:t>19</w:t>
      </w:r>
      <w:r w:rsidR="005E57F3" w:rsidRPr="00A649DE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="005E57F3" w:rsidRPr="00A649DE">
        <w:rPr>
          <w:rFonts w:ascii="Calibri" w:eastAsia="SimSun" w:hAnsi="Calibri"/>
          <w:b/>
          <w:sz w:val="24"/>
          <w:szCs w:val="24"/>
          <w:lang w:eastAsia="zh-CN"/>
        </w:rPr>
        <w:t>0</w:t>
      </w:r>
      <w:r w:rsidR="005F3121" w:rsidRPr="00A649DE">
        <w:rPr>
          <w:rFonts w:ascii="Calibri" w:eastAsia="SimSun" w:hAnsi="Calibri"/>
          <w:b/>
          <w:sz w:val="24"/>
          <w:szCs w:val="24"/>
          <w:lang w:eastAsia="zh-CN"/>
        </w:rPr>
        <w:t>7</w:t>
      </w:r>
      <w:r w:rsidR="005E57F3" w:rsidRPr="00A649DE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="005E57F3" w:rsidRPr="00A649DE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7E1B7E" w:rsidRPr="00A649DE">
        <w:rPr>
          <w:rFonts w:ascii="Calibri" w:eastAsia="SimSun" w:hAnsi="Calibri"/>
          <w:b/>
          <w:sz w:val="24"/>
          <w:szCs w:val="24"/>
          <w:lang w:val="ru-RU" w:eastAsia="zh-CN"/>
        </w:rPr>
        <w:t>3</w:t>
      </w:r>
      <w:r w:rsidR="005E57F3" w:rsidRPr="00A649DE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="005E57F3" w:rsidRPr="00A649DE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="005E57F3" w:rsidRPr="001743FE">
        <w:rPr>
          <w:rFonts w:ascii="Calibri" w:eastAsia="SimSun" w:hAnsi="Calibri"/>
          <w:b/>
          <w:sz w:val="24"/>
          <w:szCs w:val="24"/>
          <w:lang w:eastAsia="zh-CN"/>
        </w:rPr>
        <w:tab/>
      </w:r>
      <w:r w:rsidR="005E57F3" w:rsidRPr="001743FE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="005E57F3" w:rsidRPr="001743FE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Изпълнителен директор:</w:t>
      </w:r>
      <w:r w:rsidR="005E57F3" w:rsidRPr="001743FE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="005E57F3" w:rsidRPr="001743FE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 w16cid:durableId="5265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00241"/>
    <w:rsid w:val="0013006B"/>
    <w:rsid w:val="00136F86"/>
    <w:rsid w:val="001617FD"/>
    <w:rsid w:val="001743FE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41480"/>
    <w:rsid w:val="00554BB3"/>
    <w:rsid w:val="00594174"/>
    <w:rsid w:val="005C106F"/>
    <w:rsid w:val="005E02A9"/>
    <w:rsid w:val="005E57F3"/>
    <w:rsid w:val="005F3121"/>
    <w:rsid w:val="00627279"/>
    <w:rsid w:val="00651B29"/>
    <w:rsid w:val="00671C3C"/>
    <w:rsid w:val="00695863"/>
    <w:rsid w:val="006A05EF"/>
    <w:rsid w:val="00762887"/>
    <w:rsid w:val="00793CE6"/>
    <w:rsid w:val="007E1B7E"/>
    <w:rsid w:val="00834F5B"/>
    <w:rsid w:val="00876907"/>
    <w:rsid w:val="008858CD"/>
    <w:rsid w:val="00885C1C"/>
    <w:rsid w:val="008877E4"/>
    <w:rsid w:val="008A6D64"/>
    <w:rsid w:val="00911FA6"/>
    <w:rsid w:val="009273A1"/>
    <w:rsid w:val="009D31FC"/>
    <w:rsid w:val="00A530E8"/>
    <w:rsid w:val="00A649DE"/>
    <w:rsid w:val="00A85238"/>
    <w:rsid w:val="00A97FD7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93040"/>
    <w:rsid w:val="00C9787F"/>
    <w:rsid w:val="00CA2C38"/>
    <w:rsid w:val="00CB1935"/>
    <w:rsid w:val="00CF41CC"/>
    <w:rsid w:val="00D04A6A"/>
    <w:rsid w:val="00D16865"/>
    <w:rsid w:val="00D43D52"/>
    <w:rsid w:val="00DC7F48"/>
    <w:rsid w:val="00E26070"/>
    <w:rsid w:val="00E372AB"/>
    <w:rsid w:val="00E651BC"/>
    <w:rsid w:val="00E95CD6"/>
    <w:rsid w:val="00EB34AC"/>
    <w:rsid w:val="00ED6A49"/>
    <w:rsid w:val="00F1225B"/>
    <w:rsid w:val="00F64C28"/>
    <w:rsid w:val="00F83F24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8</cp:revision>
  <dcterms:created xsi:type="dcterms:W3CDTF">2022-01-25T15:08:00Z</dcterms:created>
  <dcterms:modified xsi:type="dcterms:W3CDTF">2023-07-18T12:41:00Z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